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4E4" w:rsidRDefault="000D74E4" w:rsidP="000D74E4">
      <w:pPr>
        <w:spacing w:line="276" w:lineRule="auto"/>
        <w:jc w:val="center"/>
        <w:rPr>
          <w:b/>
          <w:sz w:val="32"/>
          <w:lang w:val="en-GB"/>
        </w:rPr>
      </w:pPr>
      <w:r w:rsidRPr="003E1174">
        <w:rPr>
          <w:b/>
          <w:sz w:val="32"/>
          <w:lang w:val="en-GB"/>
        </w:rPr>
        <w:t xml:space="preserve">Spatial and size distributions of early recruits of </w:t>
      </w:r>
      <w:r w:rsidRPr="003E1174">
        <w:rPr>
          <w:b/>
          <w:i/>
          <w:sz w:val="32"/>
          <w:lang w:val="en-GB"/>
        </w:rPr>
        <w:t>Cucumaria frondosa</w:t>
      </w:r>
      <w:r w:rsidRPr="003E1174">
        <w:rPr>
          <w:b/>
          <w:sz w:val="32"/>
          <w:lang w:val="en-GB"/>
        </w:rPr>
        <w:t xml:space="preserve"> in a coastal nursery (Nunavut, Canadian Arctic)</w:t>
      </w:r>
    </w:p>
    <w:p w:rsidR="000D74E4" w:rsidRPr="003E1174" w:rsidRDefault="000D74E4" w:rsidP="000D74E4">
      <w:pPr>
        <w:spacing w:before="240"/>
        <w:jc w:val="center"/>
        <w:rPr>
          <w:rFonts w:cstheme="minorHAnsi"/>
          <w:b/>
          <w:bCs/>
          <w:sz w:val="24"/>
          <w:szCs w:val="24"/>
          <w:lang w:val="fr-CA"/>
        </w:rPr>
      </w:pPr>
      <w:r w:rsidRPr="003E1174">
        <w:rPr>
          <w:rFonts w:cstheme="minorHAnsi"/>
          <w:b/>
          <w:bCs/>
          <w:sz w:val="24"/>
          <w:szCs w:val="24"/>
          <w:lang w:val="fr-CA"/>
        </w:rPr>
        <w:t>Joséphine Pierrat</w:t>
      </w:r>
      <w:r w:rsidRPr="003E1174">
        <w:rPr>
          <w:rFonts w:cstheme="minorHAnsi"/>
          <w:b/>
          <w:bCs/>
          <w:sz w:val="24"/>
          <w:szCs w:val="24"/>
          <w:vertAlign w:val="superscript"/>
          <w:lang w:val="fr-CA"/>
        </w:rPr>
        <w:t>1, *</w:t>
      </w:r>
      <w:r w:rsidRPr="003E1174">
        <w:rPr>
          <w:rFonts w:cstheme="minorHAnsi"/>
          <w:b/>
          <w:bCs/>
          <w:sz w:val="24"/>
          <w:szCs w:val="24"/>
          <w:lang w:val="fr-CA"/>
        </w:rPr>
        <w:t>, Kevin C. K. Ma</w:t>
      </w:r>
      <w:r w:rsidRPr="003E1174">
        <w:rPr>
          <w:rFonts w:cstheme="minorHAnsi"/>
          <w:b/>
          <w:bCs/>
          <w:sz w:val="24"/>
          <w:szCs w:val="24"/>
          <w:vertAlign w:val="superscript"/>
          <w:lang w:val="fr-CA"/>
        </w:rPr>
        <w:t>1</w:t>
      </w:r>
      <w:r w:rsidRPr="003E1174">
        <w:rPr>
          <w:rFonts w:cstheme="minorHAnsi"/>
          <w:b/>
          <w:bCs/>
          <w:sz w:val="24"/>
          <w:szCs w:val="24"/>
          <w:lang w:val="fr-CA"/>
        </w:rPr>
        <w:t>, Jean-François Hamel</w:t>
      </w:r>
      <w:r w:rsidRPr="003E1174">
        <w:rPr>
          <w:rFonts w:cstheme="minorHAnsi"/>
          <w:b/>
          <w:bCs/>
          <w:sz w:val="24"/>
          <w:szCs w:val="24"/>
          <w:vertAlign w:val="superscript"/>
          <w:lang w:val="fr-CA"/>
        </w:rPr>
        <w:t>2</w:t>
      </w:r>
      <w:r w:rsidRPr="003E1174">
        <w:rPr>
          <w:rFonts w:cstheme="minorHAnsi"/>
          <w:b/>
          <w:bCs/>
          <w:sz w:val="24"/>
          <w:szCs w:val="24"/>
          <w:lang w:val="fr-CA"/>
        </w:rPr>
        <w:t xml:space="preserve"> </w:t>
      </w:r>
    </w:p>
    <w:p w:rsidR="000D74E4" w:rsidRDefault="000D74E4" w:rsidP="000D74E4">
      <w:pPr>
        <w:jc w:val="center"/>
        <w:rPr>
          <w:rFonts w:cstheme="minorHAnsi"/>
          <w:b/>
          <w:bCs/>
          <w:sz w:val="24"/>
          <w:szCs w:val="24"/>
          <w:vertAlign w:val="superscript"/>
          <w:lang w:val="en-GB"/>
        </w:rPr>
      </w:pPr>
      <w:r w:rsidRPr="003E1174">
        <w:rPr>
          <w:rFonts w:cstheme="minorHAnsi"/>
          <w:b/>
          <w:bCs/>
          <w:sz w:val="24"/>
          <w:szCs w:val="24"/>
          <w:lang w:val="en-CA"/>
        </w:rPr>
        <w:t>and Annie Mercier</w:t>
      </w:r>
      <w:r w:rsidRPr="003E1174">
        <w:rPr>
          <w:rFonts w:cstheme="minorHAnsi"/>
          <w:b/>
          <w:bCs/>
          <w:sz w:val="24"/>
          <w:szCs w:val="24"/>
          <w:vertAlign w:val="superscript"/>
          <w:lang w:val="en-GB"/>
        </w:rPr>
        <w:t>1</w:t>
      </w:r>
    </w:p>
    <w:p w:rsidR="000D74E4" w:rsidRPr="003E1174" w:rsidRDefault="000D74E4" w:rsidP="000D74E4">
      <w:pPr>
        <w:jc w:val="center"/>
        <w:rPr>
          <w:rFonts w:cstheme="minorHAnsi"/>
          <w:b/>
          <w:bCs/>
          <w:sz w:val="24"/>
          <w:szCs w:val="24"/>
          <w:lang w:val="en-CA"/>
        </w:rPr>
      </w:pPr>
    </w:p>
    <w:p w:rsidR="000D74E4" w:rsidRPr="003E1174" w:rsidRDefault="000D74E4" w:rsidP="000D74E4">
      <w:pPr>
        <w:rPr>
          <w:rFonts w:cstheme="minorHAnsi"/>
          <w:sz w:val="24"/>
          <w:szCs w:val="24"/>
          <w:lang w:val="en-GB"/>
        </w:rPr>
      </w:pPr>
      <w:r w:rsidRPr="003E1174">
        <w:rPr>
          <w:rFonts w:cstheme="minorHAnsi"/>
          <w:sz w:val="24"/>
          <w:szCs w:val="24"/>
          <w:vertAlign w:val="superscript"/>
          <w:lang w:val="en-GB"/>
        </w:rPr>
        <w:t xml:space="preserve">1 </w:t>
      </w:r>
      <w:r w:rsidRPr="003E1174">
        <w:rPr>
          <w:rFonts w:cstheme="minorHAnsi"/>
          <w:sz w:val="24"/>
          <w:szCs w:val="24"/>
          <w:lang w:val="en-GB"/>
        </w:rPr>
        <w:t>Department of Ocean Sciences, Memorial University, St. John’s, Newfoundland and</w:t>
      </w:r>
      <w:r w:rsidRPr="003E1174" w:rsidDel="00075050">
        <w:rPr>
          <w:rFonts w:cstheme="minorHAnsi"/>
          <w:sz w:val="24"/>
          <w:szCs w:val="24"/>
          <w:lang w:val="en-GB"/>
        </w:rPr>
        <w:t xml:space="preserve"> </w:t>
      </w:r>
      <w:r w:rsidRPr="003E1174">
        <w:rPr>
          <w:rFonts w:cstheme="minorHAnsi"/>
          <w:sz w:val="24"/>
          <w:szCs w:val="24"/>
          <w:lang w:val="en-GB"/>
        </w:rPr>
        <w:t>Labrador, Canada</w:t>
      </w:r>
    </w:p>
    <w:p w:rsidR="000D74E4" w:rsidRPr="003E1174" w:rsidRDefault="000D74E4" w:rsidP="000D74E4">
      <w:pPr>
        <w:rPr>
          <w:rFonts w:cstheme="minorHAnsi"/>
          <w:sz w:val="24"/>
          <w:szCs w:val="24"/>
          <w:lang w:val="en-GB"/>
        </w:rPr>
      </w:pPr>
      <w:r w:rsidRPr="003E1174">
        <w:rPr>
          <w:rFonts w:cstheme="minorHAnsi"/>
          <w:sz w:val="24"/>
          <w:szCs w:val="24"/>
          <w:vertAlign w:val="superscript"/>
          <w:lang w:val="en-GB"/>
        </w:rPr>
        <w:t xml:space="preserve">2 </w:t>
      </w:r>
      <w:r w:rsidRPr="003E1174">
        <w:rPr>
          <w:rFonts w:cstheme="minorHAnsi"/>
          <w:sz w:val="24"/>
          <w:szCs w:val="24"/>
          <w:lang w:val="en-GB"/>
        </w:rPr>
        <w:t>Society for the Exploration and Valuing of the Environment, St. Philips, Newfoundland and Labrador, Canada</w:t>
      </w:r>
    </w:p>
    <w:p w:rsidR="000D74E4" w:rsidRPr="003E1174" w:rsidRDefault="000D74E4" w:rsidP="000D74E4">
      <w:pPr>
        <w:spacing w:after="0" w:line="480" w:lineRule="auto"/>
        <w:rPr>
          <w:rFonts w:cstheme="minorHAnsi"/>
          <w:sz w:val="24"/>
          <w:szCs w:val="24"/>
          <w:lang w:val="en-GB"/>
        </w:rPr>
      </w:pPr>
      <w:r w:rsidRPr="003E1174">
        <w:rPr>
          <w:rFonts w:cstheme="minorHAnsi"/>
          <w:sz w:val="24"/>
          <w:szCs w:val="24"/>
          <w:lang w:val="en-GB"/>
        </w:rPr>
        <w:t xml:space="preserve">* Corresponding author: </w:t>
      </w:r>
      <w:hyperlink r:id="rId6" w:history="1">
        <w:r w:rsidRPr="000D74E4">
          <w:rPr>
            <w:rStyle w:val="Lienhypertexte"/>
            <w:rFonts w:cstheme="minorHAnsi"/>
            <w:sz w:val="24"/>
            <w:szCs w:val="24"/>
            <w:lang w:val="en-GB"/>
          </w:rPr>
          <w:t>jdpierrat@mun.ca</w:t>
        </w:r>
      </w:hyperlink>
      <w:r w:rsidRPr="003E1174">
        <w:rPr>
          <w:rFonts w:cstheme="minorHAnsi"/>
          <w:sz w:val="24"/>
          <w:szCs w:val="24"/>
          <w:lang w:val="en-GB"/>
        </w:rPr>
        <w:t xml:space="preserve">  </w:t>
      </w:r>
    </w:p>
    <w:p w:rsidR="000D74E4" w:rsidRDefault="000D74E4" w:rsidP="000D74E4">
      <w:pPr>
        <w:pStyle w:val="Titre1"/>
      </w:pPr>
      <w:r w:rsidRPr="003E1174">
        <w:t>Supplementary materials</w:t>
      </w:r>
    </w:p>
    <w:p w:rsidR="000D74E4" w:rsidRPr="003E1174" w:rsidRDefault="000D74E4" w:rsidP="000D74E4">
      <w:pPr>
        <w:spacing w:line="360" w:lineRule="auto"/>
        <w:jc w:val="both"/>
        <w:rPr>
          <w:sz w:val="24"/>
          <w:szCs w:val="24"/>
          <w:lang w:val="en-GB"/>
        </w:rPr>
      </w:pPr>
      <w:r w:rsidRPr="003E1174">
        <w:rPr>
          <w:b/>
          <w:sz w:val="24"/>
          <w:szCs w:val="24"/>
          <w:lang w:val="en-GB"/>
        </w:rPr>
        <w:t>Supplementary Figure S1</w:t>
      </w:r>
    </w:p>
    <w:p w:rsidR="000D74E4" w:rsidRPr="003E1174" w:rsidRDefault="000D74E4" w:rsidP="000D74E4">
      <w:pPr>
        <w:spacing w:after="0" w:line="480" w:lineRule="auto"/>
        <w:jc w:val="center"/>
        <w:rPr>
          <w:rFonts w:cstheme="minorHAnsi"/>
          <w:sz w:val="24"/>
          <w:szCs w:val="24"/>
        </w:rPr>
      </w:pPr>
      <w:r w:rsidRPr="003E1174">
        <w:rPr>
          <w:b/>
          <w:noProof/>
          <w:sz w:val="24"/>
          <w:szCs w:val="24"/>
          <w:lang w:eastAsia="fr-FR"/>
        </w:rPr>
        <w:drawing>
          <wp:inline distT="0" distB="0" distL="0" distR="0" wp14:anchorId="7A67B428" wp14:editId="77774DC0">
            <wp:extent cx="3709358" cy="3341301"/>
            <wp:effectExtent l="19050" t="19050" r="24765" b="1206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28" r="14005" b="8042"/>
                    <a:stretch/>
                  </pic:blipFill>
                  <pic:spPr bwMode="auto">
                    <a:xfrm>
                      <a:off x="0" y="0"/>
                      <a:ext cx="3745611" cy="3373957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5F76" w:rsidRDefault="000D74E4" w:rsidP="000D74E4">
      <w:pPr>
        <w:spacing w:after="0" w:line="360" w:lineRule="auto"/>
        <w:jc w:val="both"/>
        <w:rPr>
          <w:sz w:val="24"/>
          <w:szCs w:val="24"/>
          <w:lang w:val="en-GB"/>
        </w:rPr>
      </w:pPr>
      <w:r w:rsidRPr="003E1174">
        <w:rPr>
          <w:sz w:val="24"/>
          <w:szCs w:val="24"/>
          <w:lang w:val="en-GB"/>
        </w:rPr>
        <w:t xml:space="preserve">Illustration of the variance-to-mean ratio method, with a photo of a stone analysed </w:t>
      </w:r>
      <w:r>
        <w:rPr>
          <w:sz w:val="24"/>
          <w:szCs w:val="24"/>
          <w:lang w:val="en-GB"/>
        </w:rPr>
        <w:t>using the</w:t>
      </w:r>
      <w:r w:rsidRPr="003E1174">
        <w:rPr>
          <w:sz w:val="24"/>
          <w:szCs w:val="24"/>
          <w:lang w:val="en-GB"/>
        </w:rPr>
        <w:t xml:space="preserve"> superimposed 10 × 10 cm grid. The juvenile sea cucumbers (pinkish-orange) were counted in each square. Here the index of dispersion </w:t>
      </w:r>
      <w:r w:rsidRPr="003E1174">
        <w:rPr>
          <w:i/>
          <w:sz w:val="24"/>
          <w:szCs w:val="24"/>
          <w:lang w:val="en-GB"/>
        </w:rPr>
        <w:t>I</w:t>
      </w:r>
      <w:r w:rsidRPr="003E1174">
        <w:rPr>
          <w:sz w:val="24"/>
          <w:szCs w:val="24"/>
          <w:lang w:val="en-GB"/>
        </w:rPr>
        <w:t xml:space="preserve"> = 1.63, meaning that the juveniles are aggregated. </w:t>
      </w:r>
    </w:p>
    <w:p w:rsidR="00DE5F76" w:rsidRDefault="00DE5F76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br w:type="page"/>
      </w:r>
    </w:p>
    <w:p w:rsidR="00DE5F76" w:rsidRPr="003E1174" w:rsidRDefault="00DE5F76" w:rsidP="00DE5F76">
      <w:pPr>
        <w:spacing w:line="360" w:lineRule="auto"/>
        <w:jc w:val="both"/>
        <w:rPr>
          <w:sz w:val="24"/>
          <w:szCs w:val="24"/>
          <w:lang w:val="en-GB"/>
        </w:rPr>
      </w:pPr>
      <w:r w:rsidRPr="003E1174">
        <w:rPr>
          <w:b/>
          <w:sz w:val="24"/>
          <w:szCs w:val="24"/>
          <w:lang w:val="en-GB"/>
        </w:rPr>
        <w:lastRenderedPageBreak/>
        <w:t>Supplementary Figure S</w:t>
      </w:r>
      <w:r>
        <w:rPr>
          <w:b/>
          <w:sz w:val="24"/>
          <w:szCs w:val="24"/>
          <w:lang w:val="en-GB"/>
        </w:rPr>
        <w:t>2</w:t>
      </w:r>
    </w:p>
    <w:p w:rsidR="00DE5F76" w:rsidRDefault="00DE5F76" w:rsidP="000D74E4">
      <w:pPr>
        <w:spacing w:after="0" w:line="360" w:lineRule="auto"/>
        <w:jc w:val="both"/>
        <w:rPr>
          <w:rFonts w:cstheme="minorHAnsi"/>
          <w:b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424D896A" wp14:editId="339D7090">
            <wp:extent cx="5417524" cy="2187952"/>
            <wp:effectExtent l="0" t="0" r="0" b="317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483" cy="2196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74E4" w:rsidRDefault="00DE5F76" w:rsidP="000D74E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 w:rsidRPr="003E1174">
        <w:rPr>
          <w:rFonts w:cstheme="minorHAnsi"/>
          <w:sz w:val="24"/>
          <w:szCs w:val="24"/>
          <w:lang w:val="en-GB"/>
        </w:rPr>
        <w:t>(</w:t>
      </w:r>
      <w:r w:rsidRPr="003E1174">
        <w:rPr>
          <w:rFonts w:cstheme="minorHAnsi"/>
          <w:b/>
          <w:sz w:val="24"/>
          <w:szCs w:val="24"/>
          <w:lang w:val="en-GB"/>
        </w:rPr>
        <w:t>A</w:t>
      </w:r>
      <w:r w:rsidRPr="003E1174">
        <w:rPr>
          <w:rFonts w:cstheme="minorHAnsi"/>
          <w:sz w:val="24"/>
          <w:szCs w:val="24"/>
          <w:lang w:val="en-GB"/>
        </w:rPr>
        <w:t xml:space="preserve">) </w:t>
      </w:r>
      <w:r>
        <w:rPr>
          <w:rFonts w:cstheme="minorHAnsi"/>
          <w:sz w:val="24"/>
          <w:szCs w:val="24"/>
          <w:lang w:val="en-GB"/>
        </w:rPr>
        <w:t>Substrate c</w:t>
      </w:r>
      <w:r w:rsidRPr="003E1174">
        <w:rPr>
          <w:rFonts w:cstheme="minorHAnsi"/>
          <w:sz w:val="24"/>
          <w:szCs w:val="24"/>
          <w:lang w:val="en-GB"/>
        </w:rPr>
        <w:t>omposition (%) of the nursery habitat of Kataaluk (Qikiqtait, Nunavut, Canada) in October 2024: fine sediment (</w:t>
      </w:r>
      <w:r>
        <w:rPr>
          <w:rFonts w:cstheme="minorHAnsi"/>
          <w:sz w:val="24"/>
          <w:szCs w:val="24"/>
          <w:lang w:val="en-GB"/>
        </w:rPr>
        <w:t xml:space="preserve">size </w:t>
      </w:r>
      <w:r w:rsidRPr="003E1174">
        <w:rPr>
          <w:rFonts w:cstheme="minorHAnsi"/>
          <w:sz w:val="24"/>
          <w:szCs w:val="24"/>
          <w:lang w:val="en-GB"/>
        </w:rPr>
        <w:t>&lt;0.5 cm), gravel (&gt;0.5‒8 cm), rubble (&gt;8‒30 cm), small boulder (&gt;30‒60 cm), large boulder (&gt;60 cm) and seaweed. (</w:t>
      </w:r>
      <w:r w:rsidRPr="003E1174">
        <w:rPr>
          <w:rFonts w:cstheme="minorHAnsi"/>
          <w:b/>
          <w:sz w:val="24"/>
          <w:szCs w:val="24"/>
          <w:lang w:val="en-GB"/>
        </w:rPr>
        <w:t>B</w:t>
      </w:r>
      <w:r w:rsidRPr="003E1174">
        <w:rPr>
          <w:rFonts w:cstheme="minorHAnsi"/>
          <w:sz w:val="24"/>
          <w:szCs w:val="24"/>
          <w:lang w:val="en-GB"/>
        </w:rPr>
        <w:t>) The different stones (%) collected during the sampling</w:t>
      </w:r>
      <w:r>
        <w:rPr>
          <w:rFonts w:cstheme="minorHAnsi"/>
          <w:sz w:val="24"/>
          <w:szCs w:val="24"/>
          <w:lang w:val="en-GB"/>
        </w:rPr>
        <w:t xml:space="preserve"> with</w:t>
      </w:r>
      <w:r w:rsidRPr="003E1174">
        <w:rPr>
          <w:rFonts w:cstheme="minorHAnsi"/>
          <w:sz w:val="24"/>
          <w:szCs w:val="24"/>
          <w:lang w:val="en-GB"/>
        </w:rPr>
        <w:t xml:space="preserve"> abundance of each substratum indicated in parenthesis. (</w:t>
      </w:r>
      <w:r w:rsidRPr="003E1174">
        <w:rPr>
          <w:rFonts w:cstheme="minorHAnsi"/>
          <w:b/>
          <w:sz w:val="24"/>
          <w:szCs w:val="24"/>
          <w:lang w:val="en-GB"/>
        </w:rPr>
        <w:t>C</w:t>
      </w:r>
      <w:r w:rsidRPr="003E1174">
        <w:rPr>
          <w:rFonts w:cstheme="minorHAnsi"/>
          <w:sz w:val="24"/>
          <w:szCs w:val="24"/>
          <w:lang w:val="en-GB"/>
        </w:rPr>
        <w:t>) Substratum utili</w:t>
      </w:r>
      <w:r>
        <w:rPr>
          <w:rFonts w:cstheme="minorHAnsi"/>
          <w:sz w:val="24"/>
          <w:szCs w:val="24"/>
          <w:lang w:val="en-GB"/>
        </w:rPr>
        <w:t>s</w:t>
      </w:r>
      <w:r w:rsidRPr="003E1174">
        <w:rPr>
          <w:rFonts w:cstheme="minorHAnsi"/>
          <w:sz w:val="24"/>
          <w:szCs w:val="24"/>
          <w:lang w:val="en-GB"/>
        </w:rPr>
        <w:t xml:space="preserve">ation (%) by juveniles of </w:t>
      </w:r>
      <w:r w:rsidRPr="003E1174">
        <w:rPr>
          <w:rFonts w:cstheme="minorHAnsi"/>
          <w:i/>
          <w:sz w:val="24"/>
          <w:szCs w:val="24"/>
          <w:lang w:val="en-GB"/>
        </w:rPr>
        <w:t>Cucumaria frondosa</w:t>
      </w:r>
      <w:r>
        <w:rPr>
          <w:rFonts w:cstheme="minorHAnsi"/>
          <w:sz w:val="24"/>
          <w:szCs w:val="24"/>
          <w:lang w:val="en-GB"/>
        </w:rPr>
        <w:t>, with</w:t>
      </w:r>
      <w:r w:rsidRPr="003E1174">
        <w:rPr>
          <w:rFonts w:cstheme="minorHAnsi"/>
          <w:sz w:val="24"/>
          <w:szCs w:val="24"/>
          <w:lang w:val="en-GB"/>
        </w:rPr>
        <w:t xml:space="preserve"> abundance of the juveniles </w:t>
      </w:r>
      <w:r>
        <w:rPr>
          <w:rFonts w:cstheme="minorHAnsi"/>
          <w:sz w:val="24"/>
          <w:szCs w:val="24"/>
          <w:lang w:val="en-GB"/>
        </w:rPr>
        <w:t>on</w:t>
      </w:r>
      <w:r w:rsidRPr="003E1174">
        <w:rPr>
          <w:rFonts w:cstheme="minorHAnsi"/>
          <w:sz w:val="24"/>
          <w:szCs w:val="24"/>
          <w:lang w:val="en-GB"/>
        </w:rPr>
        <w:t xml:space="preserve"> each substratum indicated in parenthesis. </w:t>
      </w:r>
      <w:r w:rsidR="000D74E4" w:rsidRPr="003E1174">
        <w:rPr>
          <w:rFonts w:cstheme="minorHAnsi"/>
          <w:sz w:val="24"/>
          <w:szCs w:val="24"/>
          <w:lang w:val="en-GB"/>
        </w:rPr>
        <w:br w:type="page"/>
      </w:r>
    </w:p>
    <w:p w:rsidR="00DE5F76" w:rsidRPr="003E1174" w:rsidRDefault="00DE5F76" w:rsidP="00DE5F76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 w:rsidRPr="003E1174">
        <w:rPr>
          <w:b/>
          <w:sz w:val="24"/>
          <w:szCs w:val="24"/>
          <w:lang w:val="en-GB"/>
        </w:rPr>
        <w:lastRenderedPageBreak/>
        <w:t>Supplementary Figure S</w:t>
      </w:r>
      <w:r>
        <w:rPr>
          <w:b/>
          <w:sz w:val="24"/>
          <w:szCs w:val="24"/>
          <w:lang w:val="en-GB"/>
        </w:rPr>
        <w:t>3</w:t>
      </w:r>
    </w:p>
    <w:p w:rsidR="00DE5F76" w:rsidRDefault="00DE5F76">
      <w:pPr>
        <w:rPr>
          <w:rFonts w:cstheme="minorHAnsi"/>
          <w:sz w:val="24"/>
          <w:szCs w:val="24"/>
          <w:lang w:val="en-GB"/>
        </w:rPr>
      </w:pPr>
      <w:r>
        <w:rPr>
          <w:noProof/>
          <w:sz w:val="24"/>
          <w:szCs w:val="24"/>
          <w:lang w:eastAsia="fr-FR"/>
        </w:rPr>
        <w:drawing>
          <wp:inline distT="0" distB="0" distL="0" distR="0" wp14:anchorId="601FCA3F" wp14:editId="3E9EAE13">
            <wp:extent cx="5755640" cy="3239754"/>
            <wp:effectExtent l="0" t="0" r="0" b="0"/>
            <wp:docPr id="108" name="Imag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440" cy="32508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5F76" w:rsidRDefault="00DE5F76" w:rsidP="00DE5F76">
      <w:pPr>
        <w:spacing w:line="360" w:lineRule="auto"/>
        <w:jc w:val="both"/>
        <w:rPr>
          <w:rFonts w:cstheme="minorHAnsi"/>
          <w:sz w:val="24"/>
          <w:szCs w:val="24"/>
          <w:lang w:val="en-GB"/>
        </w:rPr>
      </w:pPr>
      <w:r w:rsidRPr="00DE5F76">
        <w:rPr>
          <w:sz w:val="24"/>
          <w:szCs w:val="24"/>
          <w:lang w:val="en-GB"/>
        </w:rPr>
        <w:t>Extracted photo frames from ROV video footages at Kataaluk illustrating the different substrata found in the nursery: (A) Substratum dominated by fine sediment (&lt;0.5 cm; light blue arrows) and rubbles (&gt;8‒30 cm; orange arrows); (B) substratum dominated by seaweed (dark green arrow); (C) substratum dominated by gravels (&gt;0.5‒8 cm; yellow arrows) and rubbles (orange arrows); and (D) substratum dominated by gravel (yellow arrows), rubbles (orange arrows) and small boulders (&gt;30‒60 cm; light green arrows). S</w:t>
      </w:r>
      <w:bookmarkStart w:id="0" w:name="_GoBack"/>
      <w:bookmarkEnd w:id="0"/>
      <w:r w:rsidRPr="00DE5F76">
        <w:rPr>
          <w:sz w:val="24"/>
          <w:szCs w:val="24"/>
          <w:lang w:val="en-GB"/>
        </w:rPr>
        <w:t>cale bars ~20 cm.</w:t>
      </w:r>
      <w:r>
        <w:rPr>
          <w:rFonts w:cstheme="minorHAnsi"/>
          <w:sz w:val="24"/>
          <w:szCs w:val="24"/>
          <w:lang w:val="en-GB"/>
        </w:rPr>
        <w:br w:type="page"/>
      </w:r>
    </w:p>
    <w:p w:rsidR="000D74E4" w:rsidRPr="003E1174" w:rsidRDefault="000D74E4" w:rsidP="000D74E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 w:rsidRPr="003E1174">
        <w:rPr>
          <w:b/>
          <w:sz w:val="24"/>
          <w:szCs w:val="24"/>
          <w:lang w:val="en-GB"/>
        </w:rPr>
        <w:lastRenderedPageBreak/>
        <w:t>Supplementary Figure S</w:t>
      </w:r>
      <w:r w:rsidR="00DE5F76">
        <w:rPr>
          <w:b/>
          <w:sz w:val="24"/>
          <w:szCs w:val="24"/>
          <w:lang w:val="en-GB"/>
        </w:rPr>
        <w:t>4</w:t>
      </w:r>
    </w:p>
    <w:p w:rsidR="000D74E4" w:rsidRPr="003E1174" w:rsidRDefault="000D74E4" w:rsidP="000D74E4">
      <w:pPr>
        <w:spacing w:before="240" w:after="0" w:line="480" w:lineRule="auto"/>
        <w:jc w:val="both"/>
        <w:rPr>
          <w:sz w:val="24"/>
          <w:szCs w:val="24"/>
          <w:lang w:val="en-GB"/>
        </w:rPr>
      </w:pPr>
      <w:r w:rsidRPr="003E1174">
        <w:rPr>
          <w:noProof/>
          <w:sz w:val="24"/>
          <w:szCs w:val="24"/>
          <w:lang w:eastAsia="fr-FR"/>
        </w:rPr>
        <w:drawing>
          <wp:inline distT="0" distB="0" distL="0" distR="0" wp14:anchorId="36EEBC41" wp14:editId="7FB8ED0A">
            <wp:extent cx="5748944" cy="5263117"/>
            <wp:effectExtent l="0" t="0" r="4445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89" cy="5275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2EF1" w:rsidRPr="000D74E4" w:rsidRDefault="000D74E4" w:rsidP="000D74E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 w:rsidRPr="003E1174">
        <w:rPr>
          <w:rFonts w:cstheme="minorHAnsi"/>
          <w:sz w:val="24"/>
          <w:szCs w:val="24"/>
          <w:lang w:val="en-GB"/>
        </w:rPr>
        <w:t xml:space="preserve">Examples of vectors of distance from a central early recruit to surrounding juveniles of </w:t>
      </w:r>
      <w:r w:rsidRPr="003E1174">
        <w:rPr>
          <w:rFonts w:cstheme="minorHAnsi"/>
          <w:i/>
          <w:sz w:val="24"/>
          <w:szCs w:val="24"/>
          <w:lang w:val="en-GB"/>
        </w:rPr>
        <w:t>Cucumaria frondosa</w:t>
      </w:r>
      <w:r w:rsidRPr="003E1174">
        <w:rPr>
          <w:rFonts w:cstheme="minorHAnsi"/>
          <w:sz w:val="24"/>
          <w:szCs w:val="24"/>
          <w:lang w:val="en-GB"/>
        </w:rPr>
        <w:t>. (</w:t>
      </w:r>
      <w:r w:rsidRPr="003E1174">
        <w:rPr>
          <w:rFonts w:cstheme="minorHAnsi"/>
          <w:b/>
          <w:sz w:val="24"/>
          <w:szCs w:val="24"/>
          <w:lang w:val="en-GB"/>
        </w:rPr>
        <w:t>A</w:t>
      </w:r>
      <w:r w:rsidRPr="003E1174">
        <w:rPr>
          <w:rFonts w:cstheme="minorHAnsi"/>
          <w:sz w:val="24"/>
          <w:szCs w:val="24"/>
          <w:lang w:val="en-GB"/>
        </w:rPr>
        <w:t xml:space="preserve">, </w:t>
      </w:r>
      <w:r w:rsidRPr="003E1174">
        <w:rPr>
          <w:rFonts w:cstheme="minorHAnsi"/>
          <w:b/>
          <w:sz w:val="24"/>
          <w:szCs w:val="24"/>
          <w:lang w:val="en-GB"/>
        </w:rPr>
        <w:t>C</w:t>
      </w:r>
      <w:r w:rsidRPr="003E1174">
        <w:rPr>
          <w:rFonts w:cstheme="minorHAnsi"/>
          <w:sz w:val="24"/>
          <w:szCs w:val="24"/>
          <w:lang w:val="en-GB"/>
        </w:rPr>
        <w:t>) Distances from early recruits found on flat surfaces of the underside of a stone; (</w:t>
      </w:r>
      <w:r w:rsidRPr="003E1174">
        <w:rPr>
          <w:rFonts w:cstheme="minorHAnsi"/>
          <w:b/>
          <w:sz w:val="24"/>
          <w:szCs w:val="24"/>
          <w:lang w:val="en-GB"/>
        </w:rPr>
        <w:t>B</w:t>
      </w:r>
      <w:r w:rsidRPr="003E1174">
        <w:rPr>
          <w:rFonts w:cstheme="minorHAnsi"/>
          <w:sz w:val="24"/>
          <w:szCs w:val="24"/>
          <w:lang w:val="en-GB"/>
        </w:rPr>
        <w:t>) distances from early recruits found in a shallow depression; and (</w:t>
      </w:r>
      <w:r w:rsidRPr="003E1174">
        <w:rPr>
          <w:rFonts w:cstheme="minorHAnsi"/>
          <w:b/>
          <w:sz w:val="24"/>
          <w:szCs w:val="24"/>
          <w:lang w:val="en-GB"/>
        </w:rPr>
        <w:t>D</w:t>
      </w:r>
      <w:r w:rsidRPr="003E1174">
        <w:rPr>
          <w:rFonts w:cstheme="minorHAnsi"/>
          <w:sz w:val="24"/>
          <w:szCs w:val="24"/>
          <w:lang w:val="en-GB"/>
        </w:rPr>
        <w:t xml:space="preserve">) distances from early recruits (black arrows), from juvenile of </w:t>
      </w:r>
      <w:r>
        <w:rPr>
          <w:rFonts w:cstheme="minorHAnsi"/>
          <w:sz w:val="24"/>
          <w:szCs w:val="24"/>
          <w:lang w:val="en-GB"/>
        </w:rPr>
        <w:t>˃</w:t>
      </w:r>
      <w:r w:rsidRPr="003E1174">
        <w:rPr>
          <w:rFonts w:cstheme="minorHAnsi"/>
          <w:sz w:val="24"/>
          <w:szCs w:val="24"/>
          <w:lang w:val="en-GB"/>
        </w:rPr>
        <w:t>2</w:t>
      </w:r>
      <w:r>
        <w:rPr>
          <w:rFonts w:cstheme="minorHAnsi"/>
          <w:sz w:val="24"/>
          <w:szCs w:val="24"/>
          <w:lang w:val="en-GB"/>
        </w:rPr>
        <w:t>,</w:t>
      </w:r>
      <w:r w:rsidRPr="003E1174">
        <w:rPr>
          <w:rFonts w:cstheme="minorHAnsi"/>
          <w:sz w:val="24"/>
          <w:szCs w:val="24"/>
          <w:lang w:val="en-GB"/>
        </w:rPr>
        <w:t>000</w:t>
      </w:r>
      <w:r>
        <w:rPr>
          <w:rFonts w:cstheme="minorHAnsi"/>
          <w:sz w:val="24"/>
          <w:szCs w:val="24"/>
          <w:lang w:val="en-GB"/>
        </w:rPr>
        <w:t>–</w:t>
      </w:r>
      <w:r w:rsidRPr="003E1174">
        <w:rPr>
          <w:rFonts w:cstheme="minorHAnsi"/>
          <w:sz w:val="24"/>
          <w:szCs w:val="24"/>
          <w:lang w:val="en-GB"/>
        </w:rPr>
        <w:t>6</w:t>
      </w:r>
      <w:r>
        <w:rPr>
          <w:rFonts w:cstheme="minorHAnsi"/>
          <w:sz w:val="24"/>
          <w:szCs w:val="24"/>
          <w:lang w:val="en-GB"/>
        </w:rPr>
        <w:t>,</w:t>
      </w:r>
      <w:r w:rsidRPr="003E1174">
        <w:rPr>
          <w:rFonts w:cstheme="minorHAnsi"/>
          <w:sz w:val="24"/>
          <w:szCs w:val="24"/>
          <w:lang w:val="en-GB"/>
        </w:rPr>
        <w:t>000 µm (red arrow), and from juvenile &gt;10</w:t>
      </w:r>
      <w:r>
        <w:rPr>
          <w:rFonts w:cstheme="minorHAnsi"/>
          <w:sz w:val="24"/>
          <w:szCs w:val="24"/>
          <w:lang w:val="en-GB"/>
        </w:rPr>
        <w:t>,</w:t>
      </w:r>
      <w:r w:rsidRPr="003E1174">
        <w:rPr>
          <w:rFonts w:cstheme="minorHAnsi"/>
          <w:sz w:val="24"/>
          <w:szCs w:val="24"/>
          <w:lang w:val="en-GB"/>
        </w:rPr>
        <w:t>000 µm (blue arrow). Scale bar = 5 mm.</w:t>
      </w:r>
    </w:p>
    <w:sectPr w:rsidR="00B72EF1" w:rsidRPr="000D74E4" w:rsidSect="00F61813">
      <w:headerReference w:type="default" r:id="rId11"/>
      <w:footerReference w:type="default" r:id="rId12"/>
      <w:pgSz w:w="11906" w:h="16838" w:code="9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40B" w:rsidRDefault="006B040B">
      <w:pPr>
        <w:spacing w:after="0" w:line="240" w:lineRule="auto"/>
      </w:pPr>
      <w:r>
        <w:separator/>
      </w:r>
    </w:p>
  </w:endnote>
  <w:endnote w:type="continuationSeparator" w:id="0">
    <w:p w:rsidR="006B040B" w:rsidRDefault="006B0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0066685"/>
      <w:docPartObj>
        <w:docPartGallery w:val="Page Numbers (Bottom of Page)"/>
        <w:docPartUnique/>
      </w:docPartObj>
    </w:sdtPr>
    <w:sdtEndPr/>
    <w:sdtContent>
      <w:p w:rsidR="00327EB3" w:rsidRDefault="004448B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5F76">
          <w:rPr>
            <w:noProof/>
          </w:rPr>
          <w:t>4</w:t>
        </w:r>
        <w:r>
          <w:fldChar w:fldCharType="end"/>
        </w:r>
      </w:p>
    </w:sdtContent>
  </w:sdt>
  <w:p w:rsidR="00327EB3" w:rsidRDefault="006B040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40B" w:rsidRDefault="006B040B">
      <w:pPr>
        <w:spacing w:after="0" w:line="240" w:lineRule="auto"/>
      </w:pPr>
      <w:r>
        <w:separator/>
      </w:r>
    </w:p>
  </w:footnote>
  <w:footnote w:type="continuationSeparator" w:id="0">
    <w:p w:rsidR="006B040B" w:rsidRDefault="006B0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EB3" w:rsidRDefault="004448B3" w:rsidP="00536596">
    <w:pPr>
      <w:pStyle w:val="En-tte"/>
      <w:tabs>
        <w:tab w:val="clear" w:pos="4536"/>
        <w:tab w:val="clear" w:pos="9072"/>
        <w:tab w:val="left" w:pos="350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4E4"/>
    <w:rsid w:val="000D74E4"/>
    <w:rsid w:val="004448B3"/>
    <w:rsid w:val="006B040B"/>
    <w:rsid w:val="00A4086E"/>
    <w:rsid w:val="00B72EF1"/>
    <w:rsid w:val="00CD0870"/>
    <w:rsid w:val="00DE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FD9871"/>
  <w15:chartTrackingRefBased/>
  <w15:docId w15:val="{D2DA4736-9B82-46F0-AE06-FAE3E4D7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4E4"/>
    <w:rPr>
      <w:rFonts w:eastAsiaTheme="minorEastAsia"/>
    </w:rPr>
  </w:style>
  <w:style w:type="paragraph" w:styleId="Titre1">
    <w:name w:val="heading 1"/>
    <w:basedOn w:val="Normal"/>
    <w:next w:val="Normal"/>
    <w:link w:val="Titre1Car"/>
    <w:uiPriority w:val="9"/>
    <w:qFormat/>
    <w:rsid w:val="000D74E4"/>
    <w:pPr>
      <w:keepNext/>
      <w:keepLines/>
      <w:spacing w:before="240" w:after="120" w:line="480" w:lineRule="auto"/>
      <w:outlineLvl w:val="0"/>
    </w:pPr>
    <w:rPr>
      <w:rFonts w:eastAsiaTheme="majorEastAsia" w:cstheme="majorBidi"/>
      <w:b/>
      <w:sz w:val="28"/>
      <w:szCs w:val="36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74E4"/>
    <w:rPr>
      <w:rFonts w:eastAsiaTheme="majorEastAsia" w:cstheme="majorBidi"/>
      <w:b/>
      <w:sz w:val="28"/>
      <w:szCs w:val="36"/>
      <w:lang w:val="en-GB"/>
    </w:rPr>
  </w:style>
  <w:style w:type="paragraph" w:styleId="En-tte">
    <w:name w:val="header"/>
    <w:basedOn w:val="Normal"/>
    <w:link w:val="En-tteCar"/>
    <w:uiPriority w:val="99"/>
    <w:unhideWhenUsed/>
    <w:rsid w:val="000D74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D74E4"/>
    <w:rPr>
      <w:rFonts w:eastAsiaTheme="minorEastAsia"/>
    </w:rPr>
  </w:style>
  <w:style w:type="paragraph" w:styleId="Pieddepage">
    <w:name w:val="footer"/>
    <w:basedOn w:val="Normal"/>
    <w:link w:val="PieddepageCar"/>
    <w:uiPriority w:val="99"/>
    <w:unhideWhenUsed/>
    <w:rsid w:val="000D74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D74E4"/>
    <w:rPr>
      <w:rFonts w:eastAsiaTheme="minorEastAsia"/>
    </w:rPr>
  </w:style>
  <w:style w:type="character" w:styleId="Numrodeligne">
    <w:name w:val="line number"/>
    <w:basedOn w:val="Policepardfaut"/>
    <w:uiPriority w:val="99"/>
    <w:semiHidden/>
    <w:unhideWhenUsed/>
    <w:rsid w:val="000D74E4"/>
  </w:style>
  <w:style w:type="character" w:styleId="Lienhypertexte">
    <w:name w:val="Hyperlink"/>
    <w:basedOn w:val="Policepardfaut"/>
    <w:uiPriority w:val="99"/>
    <w:unhideWhenUsed/>
    <w:rsid w:val="000D74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dpierrat@mun.ca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363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la Réunion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Pierrat</dc:creator>
  <cp:keywords/>
  <dc:description/>
  <cp:lastModifiedBy>Josephine Pierrat</cp:lastModifiedBy>
  <cp:revision>3</cp:revision>
  <dcterms:created xsi:type="dcterms:W3CDTF">2025-10-24T17:56:00Z</dcterms:created>
  <dcterms:modified xsi:type="dcterms:W3CDTF">2025-10-29T17:42:00Z</dcterms:modified>
</cp:coreProperties>
</file>